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86" w:type="dxa"/>
        <w:tblLayout w:type="fixed"/>
        <w:tblLook w:val="04A0" w:firstRow="1" w:lastRow="0" w:firstColumn="1" w:lastColumn="0" w:noHBand="0" w:noVBand="1"/>
      </w:tblPr>
      <w:tblGrid>
        <w:gridCol w:w="614"/>
        <w:gridCol w:w="5670"/>
        <w:gridCol w:w="1843"/>
        <w:gridCol w:w="1559"/>
      </w:tblGrid>
      <w:tr w:rsidR="00C0731B" w:rsidTr="005B0EAD">
        <w:tc>
          <w:tcPr>
            <w:tcW w:w="614" w:type="dxa"/>
          </w:tcPr>
          <w:p w:rsidR="00C0731B" w:rsidRDefault="00C0731B">
            <w:r>
              <w:t>NO</w:t>
            </w:r>
          </w:p>
        </w:tc>
        <w:tc>
          <w:tcPr>
            <w:tcW w:w="5670" w:type="dxa"/>
          </w:tcPr>
          <w:p w:rsidR="00C0731B" w:rsidRDefault="00C0731B" w:rsidP="00C0731B">
            <w:pPr>
              <w:jc w:val="center"/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1843" w:type="dxa"/>
          </w:tcPr>
          <w:p w:rsidR="00C0731B" w:rsidRDefault="00C0731B" w:rsidP="00C0731B">
            <w:pPr>
              <w:jc w:val="center"/>
            </w:pPr>
            <w:r>
              <w:rPr>
                <w:rFonts w:hint="cs"/>
                <w:rtl/>
              </w:rPr>
              <w:t>نویسندگان</w:t>
            </w:r>
          </w:p>
        </w:tc>
        <w:tc>
          <w:tcPr>
            <w:tcW w:w="1559" w:type="dxa"/>
          </w:tcPr>
          <w:p w:rsidR="00C0731B" w:rsidRDefault="00C0731B" w:rsidP="00C0731B">
            <w:pPr>
              <w:jc w:val="center"/>
            </w:pPr>
            <w:r>
              <w:rPr>
                <w:rFonts w:hint="cs"/>
                <w:rtl/>
              </w:rPr>
              <w:t>مجله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bookmarkStart w:id="0" w:name="_GoBack" w:colFirst="2" w:colLast="2"/>
            <w:r>
              <w:t>1</w:t>
            </w:r>
          </w:p>
        </w:tc>
        <w:tc>
          <w:tcPr>
            <w:tcW w:w="5670" w:type="dxa"/>
          </w:tcPr>
          <w:p w:rsidR="00C0731B" w:rsidRPr="00E67EAD" w:rsidRDefault="00C0731B" w:rsidP="00561DB0">
            <w:pPr>
              <w:rPr>
                <w:rFonts w:ascii="Arial" w:hAnsi="Arial" w:cs="Arial"/>
                <w:sz w:val="20"/>
                <w:szCs w:val="20"/>
              </w:rPr>
            </w:pPr>
            <w:r w:rsidRPr="00E67EAD">
              <w:rPr>
                <w:rFonts w:ascii="Arial" w:hAnsi="Arial" w:cs="Arial"/>
                <w:sz w:val="20"/>
                <w:szCs w:val="20"/>
              </w:rPr>
              <w:t xml:space="preserve">Gallic acid exerts anti-inflammatory, anti-oxidative stress, and </w:t>
            </w:r>
            <w:proofErr w:type="spellStart"/>
            <w:r w:rsidRPr="00E67EAD">
              <w:rPr>
                <w:rFonts w:ascii="Arial" w:hAnsi="Arial" w:cs="Arial"/>
                <w:sz w:val="20"/>
                <w:szCs w:val="20"/>
              </w:rPr>
              <w:t>nephroprotective</w:t>
            </w:r>
            <w:proofErr w:type="spellEnd"/>
            <w:r w:rsidRPr="00E67EAD">
              <w:rPr>
                <w:rFonts w:ascii="Arial" w:hAnsi="Arial" w:cs="Arial"/>
                <w:sz w:val="20"/>
                <w:szCs w:val="20"/>
              </w:rPr>
              <w:t xml:space="preserve"> effects against </w:t>
            </w:r>
            <w:proofErr w:type="spellStart"/>
            <w:r w:rsidRPr="00E67EAD">
              <w:rPr>
                <w:rFonts w:ascii="Arial" w:hAnsi="Arial" w:cs="Arial"/>
                <w:sz w:val="20"/>
                <w:szCs w:val="20"/>
              </w:rPr>
              <w:t>paraquat</w:t>
            </w:r>
            <w:proofErr w:type="spellEnd"/>
            <w:r w:rsidRPr="00E67EAD">
              <w:rPr>
                <w:rFonts w:ascii="Arial" w:hAnsi="Arial" w:cs="Arial"/>
                <w:sz w:val="20"/>
                <w:szCs w:val="20"/>
              </w:rPr>
              <w:t>-induced renal injury in male rats</w:t>
            </w:r>
          </w:p>
          <w:p w:rsidR="00C0731B" w:rsidRPr="00561DB0" w:rsidRDefault="00C0731B" w:rsidP="00561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Heibati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  <w:tc>
          <w:tcPr>
            <w:tcW w:w="1559" w:type="dxa"/>
          </w:tcPr>
          <w:p w:rsidR="00C0731B" w:rsidRDefault="00C0731B">
            <w:pPr>
              <w:rPr>
                <w:rStyle w:val="value"/>
              </w:rPr>
            </w:pPr>
            <w:r>
              <w:rPr>
                <w:rStyle w:val="ng-star-inserted"/>
              </w:rPr>
              <w:t>NAUNYN-SCHMIEDEBERGS ARCHIVES OF PHARMACOLOGY</w:t>
            </w:r>
          </w:p>
        </w:tc>
      </w:tr>
      <w:bookmarkEnd w:id="0"/>
      <w:tr w:rsidR="00C0731B" w:rsidTr="005B0EAD">
        <w:tc>
          <w:tcPr>
            <w:tcW w:w="614" w:type="dxa"/>
          </w:tcPr>
          <w:p w:rsidR="00C0731B" w:rsidRDefault="00C0731B">
            <w:r>
              <w:t>2</w:t>
            </w:r>
          </w:p>
        </w:tc>
        <w:tc>
          <w:tcPr>
            <w:tcW w:w="5670" w:type="dxa"/>
            <w:vAlign w:val="bottom"/>
          </w:tcPr>
          <w:p w:rsidR="00C0731B" w:rsidRPr="00561DB0" w:rsidRDefault="00C0731B" w:rsidP="00561DB0">
            <w:pPr>
              <w:rPr>
                <w:rFonts w:ascii="Arial" w:hAnsi="Arial" w:cs="Arial"/>
                <w:sz w:val="20"/>
                <w:szCs w:val="20"/>
              </w:rPr>
            </w:pPr>
            <w:r w:rsidRPr="00561DB0">
              <w:rPr>
                <w:rFonts w:ascii="Arial" w:hAnsi="Arial" w:cs="Arial"/>
                <w:sz w:val="20"/>
                <w:szCs w:val="20"/>
              </w:rPr>
              <w:t>The Effect of Hydro-Alcoholic Extract of Nigella sativa on Bmp7 and Bmp8b Expression in Rats Fed with a High-Fat Diet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Yaghoobi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KG;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Farrokhi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JUNDISHAPUR J NAT PH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Gelatinolytic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Collagenolytic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Activity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Fasciola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hepatica Recombinant Cathepsin-L1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Mokhtarian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IRAN J BIOTECHNOL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4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vivo/in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insight into the effect of titanium dioxide nanoparticle on serum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paraoxonase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activity in rat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Mortazavi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Omidi-Ardali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Saffari-Chaleshtori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KG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BIOMOL STRUCT DYN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5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Molecular Modeling Studies of Anti-Alzheimer Agents by QSAR, Molecular Docking and Molecular Dynamics Simulations Techniques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 CHEM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6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studies of novel scaffold of thiazolidin-4-one derivatives as anti-Toxoplasma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gondii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agents by 2D/3D-QSAR, molecular docking, and molecular dynamics simulations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1149, 2020)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 CHEM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7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studies of novel scaffold of thiazolidin-4-one derivatives as anti-Toxoplasma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gondii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agents by 2D/3D-QSAR, molecular docking, and molecular dynamics simulations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 CHEM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8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Investigation of pyrimidine analogues as xanthine oxidase inhibitors to treat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hyperuricemia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gout through combined QSAR techniques, molecular docking and molecular dynamics simulations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TAIWAN INST CHEM E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9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Combined Effects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Protocatechuic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Acid and 5-Fluorouracil on p53 Gene Expression and Apoptosis in Gastric Adenocarcinoma Cells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Motamedi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Raeisi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Lemoigne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Y;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 J PHARM SCI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10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QSAR analysis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coumarin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-based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benzamides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histone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deacetylase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inhibitors using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HQSAR methods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1199, 126961, 2020)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MOL STRUCT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11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QSAR analysis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coumarin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-based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benzamides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histone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deacetylase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inhibitors using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HQSAR methods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Abdizadeh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MOL STRUCT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12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Correlation of acidic mammalian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chitinase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expression with disease severity in patients with moderate/severe persistent allergic rhinitis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Sadeghi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Pirayesh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Shahsavan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KG;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 EUR J IMMUNOL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13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Inhibition of miR-155 in MCF-7 breast cancer cell line by gold nanoparticles functionalized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antagomir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AS1411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aptamer</w:t>
            </w:r>
            <w:proofErr w:type="spellEnd"/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Kardani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Yaghoobi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Alibakhshi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A; Khatami, M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CELL PHYSIOL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lastRenderedPageBreak/>
              <w:t>14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effect of cinnamon supplementation on lipid profiles in patients with type 2 diabetes: A systematic review and meta-analysis of clinical trials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Kazemi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Saffari-Chaleshtori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-Najaf,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V; Clark, CCT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 THER MED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15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levels of IL-32 in patients with type 2 diabetes mellitus and its relationship with TNF-α and IL-6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Bagheri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Hesari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CYTOKINE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16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Retinoic acid and fibroblast growth factor-2 play a key role on modulation of sex hormones and apoptosis in a mouse model of polycystic ovary syndrome induced by estradiol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valerate</w:t>
            </w:r>
            <w:proofErr w:type="spellEnd"/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Moayeri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Rostamzadeh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Raoofi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Rezaie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Abasian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TAIWAN J OBSTET GYNE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17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Expression levels of miR-27a, miR-329, ABCA1, and ABCG1 genes in peripheral blood mononuclear cells and their correlation with serum levels of oxidative stress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-CRP in the patients with coronary artery disease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Rafiei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Ferns, GA;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Khaledifar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Rahimzadeh-Fallah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Mohmmad-Rezaei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Bagheri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IUBMB LIFE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18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Bromelain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-based chemo-herbal combination effect on human cancer cells: in-vitro study on AGS and MCF7 proliferation and apoptosis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Raeisi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Aazami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Aghamiri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SMR;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Hosseinzadeh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Lemoigne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Y;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 ISS PHARM MED S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19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Autophagy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Ubiquitination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Two Major Players in Colorectal Cancer: A Review on Recent Patents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Saffari-Chaleshtori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Asadi-Samani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Rasouli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SM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PAT ANTI-CANC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20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Engineering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mesenchymal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stem cells: a novel therapeutic approach in breast cancer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NG;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Mohseni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DRUG TARGET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21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Synergistic Effects of Lauryl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Tamoxifen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Human Breast Cancer Cell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Ghatreh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Farrokhi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Tabatabaee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Jalilian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Jafari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IRAN J PUBLIC HEALTH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22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Astragalus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fascicolifolius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abortifacient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risk and effects on sex hormones in BALB/c mice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Shahrani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Asgharzadeh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Kheiri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Sadeghimanesh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Asgharian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Lorigooini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BIOMEDICINE-TAIWAN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lastRenderedPageBreak/>
              <w:t>23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expression levels of miRNAs-27a and 23a in the peripheral blood mononuclear cells (PBMCs) and their correlation with FOXO1 and some inflammatory and anti-inflammatory cytokines in the patients with coronary artery disease (CAD)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Babaee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Bahreini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Balouchnejadmojarad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Nahrkhalaji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Fallah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24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Differentiation potential of adipose tissue-derived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mesenchymal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stem cells into germ cells with and without growth factors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Ghatreh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Eliyasi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S; Saki, G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ANDROLOGIA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25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Novel Combination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Pterostilbene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Dexamethasone Enhances Anti-proliferation and Apoptosis Induction Properties in Lymphoblastic Leukemia Cell Line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Sourani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Dezaki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Rahimnejad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Pourgheysari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EAST J CANCER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26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malondialdehyde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glutathione peroxidase changes in iron deficiency anemia patients and their correlation with body iron status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haematological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indices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Tavakoli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Abbasian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Rastegar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MED BIOMED SCI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27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Evaluation of IP10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269-a Expression Levels in Peripheral Blood Mononuclear Cell of Coronary Artery Disease Patients and Controls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Tavakoli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Fallah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DNA CELL BIOL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28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Resveratrol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downregulates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TGF-β1 and Smad3 expression and attenuates oxidative stress in CCl4-induced kidney damage in rats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Tavilani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Khodadadi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Mohseni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Hashemnia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PAC J TROP BIO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29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Gallic acid mitigates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diclofenac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-induced liver toxicity by modulating oxidative stress and suppressingIL-1βgene expression in male rats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Esmaeilzadeh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Shaghaghi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Roshanmehr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Najafi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 BIOL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30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Circulating levels of oxidized low-density lipoprotein in patients with obstructive sleep apnea: a systematic review and meta-analysis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R; Safari-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Rostampour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Khazaie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SLEEP BREATH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31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Interleukin-22 and intestinal homeostasis: Protective or destructive?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Shohan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Dehghani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Khodadadi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Dehnavi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Joudaki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Houshmandfar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Shamshiri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Shojapourian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Bagheri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IUBMB LIFE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lastRenderedPageBreak/>
              <w:t>32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 of cinnamon supplementation on blood pressure and anthropometric parameters in patients with type 2 diabetes: A systematic review and meta-analysis of clinical trials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Jalali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Saffari-Chaleshtori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-Najaf,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Samareh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 METAB SYND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33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Overview on the Common Laboratory Parameter Alterations and their Related Molecular Pathways in Screening for COVID-19 Patients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Saberiyan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Safi,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Movahhed-Abbasabad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Miralimalek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Afkhami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Teimori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 LAB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34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PTEN-induced putative kinase 1 (PINK1) down-regulation in breast cancer samples in association with mitotic rate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Yaghoobi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Azizi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Oskooei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VK;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Ghafouri-Fard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 GENE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35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impact of continuous positive airway pressure therapy on circulating levels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malondialdehyde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a systematic review and meta-analysis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Koushki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Sharafkhaneh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Rostampour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Khazaie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SLEEP MED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36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Therapeutic plasma exchange may adjust IL-6 and TGF-β signals in relapsed MS patients peripheral blood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Jamshidian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Abd-Nikfarjam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B;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Khademi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Shaygannejad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V;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Salehi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CLIN APHERESIS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37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Bromelain-Cisplatin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Combination Afford In-Vitro Synergistic Anticancer Effects on Human Prostatic Carcinoma Cell Line, PC3?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Chermahini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Raeisi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Aazami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Mirzaei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Heidarian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Lemoigne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Y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GALEN MED J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38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FrontierTherapeutics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Vaccine Strategies for SARS-CoV-2 (COVID-19): A Review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Sheikhshahrokh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Ranjbar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Saeidi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Safarpoor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Ghasemi-Dehkordi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Goodarzi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H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IRAN J PUBLIC HEALTH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39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 of IL-10+CD19+B cells in patients with prostate cancer compared to patients with benign prostatic hyperplasia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Fatemeh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Faramarz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SG; Mohammad-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Javad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Najmeh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SV;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Yousef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M; Nader, B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AFR HEALTH SCI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lastRenderedPageBreak/>
              <w:t>40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Serum levels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patients with type 2 diabetes mellitus and its association with vascular adhesion molecules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Dadmanesh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Nahrkhalaji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Aghajani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Ghorban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 PHYSIOL BIOCHEM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41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of the toxicity effects of nicotine on sperm and IVF and the potential protective role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silymarin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-an experimental study in mice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Rahimi-Madiseh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Hassanvand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Shahmohammadi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Rostamzadeh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EAST FERTIL S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42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overview of the innate and adaptive immune system in atherosclerosis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Mohmmad-Rezaei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Arefnezhad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Abdollahpour-Alitappeh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Mirzaei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Y;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Arjmand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MH; Ferns, GA;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Bashash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Bagheri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IUBMB LIFE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43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Dysregulation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vitamin D synthesis pathway genes in colorectal cancer: A case-control study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Sadeghi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Kamaliyan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Z;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Mohseni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Sahebi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U;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Nazemalhosseini-Mojarad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Aghaei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Aghdaei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Mirfakhraie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Moshiri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CLIN LAB ANAL</w:t>
            </w:r>
          </w:p>
        </w:tc>
      </w:tr>
      <w:tr w:rsidR="00C0731B" w:rsidTr="005B0EAD">
        <w:tc>
          <w:tcPr>
            <w:tcW w:w="614" w:type="dxa"/>
          </w:tcPr>
          <w:p w:rsidR="00C0731B" w:rsidRDefault="00C0731B">
            <w:r>
              <w:t>44</w:t>
            </w:r>
          </w:p>
        </w:tc>
        <w:tc>
          <w:tcPr>
            <w:tcW w:w="5670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levels of C1q/TNF-related protein-3 in inflammatory bowel disease patients and its inverse association with inflammatory cytokines and insulin resistance</w:t>
            </w:r>
          </w:p>
        </w:tc>
        <w:tc>
          <w:tcPr>
            <w:tcW w:w="1843" w:type="dxa"/>
            <w:vAlign w:val="bottom"/>
          </w:tcPr>
          <w:p w:rsidR="00C0731B" w:rsidRDefault="00C0731B" w:rsidP="004F08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Mohamadinarab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Ahmadi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Gholamrezayi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Rahvar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Naghdalipour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Setayesh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Fadaei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Tavakoli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Esteghamati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1559" w:type="dxa"/>
            <w:vAlign w:val="bottom"/>
          </w:tcPr>
          <w:p w:rsidR="00C0731B" w:rsidRDefault="00C07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IUBMB LIFE</w:t>
            </w:r>
          </w:p>
        </w:tc>
      </w:tr>
    </w:tbl>
    <w:p w:rsidR="00B43D6D" w:rsidRDefault="00B43D6D"/>
    <w:sectPr w:rsidR="00B43D6D" w:rsidSect="00603057">
      <w:headerReference w:type="default" r:id="rId8"/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FF" w:rsidRDefault="00B349FF" w:rsidP="00603057">
      <w:pPr>
        <w:spacing w:after="0" w:line="240" w:lineRule="auto"/>
      </w:pPr>
      <w:r>
        <w:separator/>
      </w:r>
    </w:p>
  </w:endnote>
  <w:endnote w:type="continuationSeparator" w:id="0">
    <w:p w:rsidR="00B349FF" w:rsidRDefault="00B349FF" w:rsidP="0060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FF" w:rsidRDefault="00B349FF" w:rsidP="00603057">
      <w:pPr>
        <w:spacing w:after="0" w:line="240" w:lineRule="auto"/>
      </w:pPr>
      <w:r>
        <w:separator/>
      </w:r>
    </w:p>
  </w:footnote>
  <w:footnote w:type="continuationSeparator" w:id="0">
    <w:p w:rsidR="00B349FF" w:rsidRDefault="00B349FF" w:rsidP="006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57" w:rsidRDefault="00603057" w:rsidP="00603057">
    <w:pPr>
      <w:pStyle w:val="Header"/>
      <w:jc w:val="right"/>
    </w:pPr>
    <w:r>
      <w:rPr>
        <w:sz w:val="28"/>
        <w:szCs w:val="28"/>
        <w:rtl/>
        <w:lang w:bidi="fa-IR"/>
      </w:rPr>
      <w:t xml:space="preserve">مقالات سال </w:t>
    </w:r>
    <w:r>
      <w:rPr>
        <w:rFonts w:hint="cs"/>
        <w:sz w:val="28"/>
        <w:szCs w:val="28"/>
        <w:rtl/>
        <w:lang w:bidi="fa-IR"/>
      </w:rPr>
      <w:t>1399</w:t>
    </w:r>
    <w:r>
      <w:rPr>
        <w:sz w:val="28"/>
        <w:szCs w:val="28"/>
        <w:rtl/>
        <w:lang w:bidi="fa-IR"/>
      </w:rPr>
      <w:t xml:space="preserve"> مرکز تحقیقات بیوشیمی بالینی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AD"/>
    <w:rsid w:val="00561DB0"/>
    <w:rsid w:val="005B0EAD"/>
    <w:rsid w:val="00603057"/>
    <w:rsid w:val="00B349FF"/>
    <w:rsid w:val="00B43D6D"/>
    <w:rsid w:val="00C0731B"/>
    <w:rsid w:val="00D42BF4"/>
    <w:rsid w:val="00E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7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67E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DefaultParagraphFont"/>
    <w:rsid w:val="00E67EAD"/>
  </w:style>
  <w:style w:type="character" w:styleId="Hyperlink">
    <w:name w:val="Hyperlink"/>
    <w:basedOn w:val="DefaultParagraphFont"/>
    <w:uiPriority w:val="99"/>
    <w:semiHidden/>
    <w:unhideWhenUsed/>
    <w:rsid w:val="00E67EAD"/>
    <w:rPr>
      <w:color w:val="0000FF"/>
      <w:u w:val="single"/>
    </w:rPr>
  </w:style>
  <w:style w:type="character" w:customStyle="1" w:styleId="ng-star-inserted">
    <w:name w:val="ng-star-inserted"/>
    <w:basedOn w:val="DefaultParagraphFont"/>
    <w:rsid w:val="00E67EAD"/>
  </w:style>
  <w:style w:type="paragraph" w:styleId="Header">
    <w:name w:val="header"/>
    <w:basedOn w:val="Normal"/>
    <w:link w:val="HeaderChar"/>
    <w:uiPriority w:val="99"/>
    <w:unhideWhenUsed/>
    <w:rsid w:val="0060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57"/>
  </w:style>
  <w:style w:type="paragraph" w:styleId="Footer">
    <w:name w:val="footer"/>
    <w:basedOn w:val="Normal"/>
    <w:link w:val="FooterChar"/>
    <w:uiPriority w:val="99"/>
    <w:unhideWhenUsed/>
    <w:rsid w:val="0060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7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67E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DefaultParagraphFont"/>
    <w:rsid w:val="00E67EAD"/>
  </w:style>
  <w:style w:type="character" w:styleId="Hyperlink">
    <w:name w:val="Hyperlink"/>
    <w:basedOn w:val="DefaultParagraphFont"/>
    <w:uiPriority w:val="99"/>
    <w:semiHidden/>
    <w:unhideWhenUsed/>
    <w:rsid w:val="00E67EAD"/>
    <w:rPr>
      <w:color w:val="0000FF"/>
      <w:u w:val="single"/>
    </w:rPr>
  </w:style>
  <w:style w:type="character" w:customStyle="1" w:styleId="ng-star-inserted">
    <w:name w:val="ng-star-inserted"/>
    <w:basedOn w:val="DefaultParagraphFont"/>
    <w:rsid w:val="00E67EAD"/>
  </w:style>
  <w:style w:type="paragraph" w:styleId="Header">
    <w:name w:val="header"/>
    <w:basedOn w:val="Normal"/>
    <w:link w:val="HeaderChar"/>
    <w:uiPriority w:val="99"/>
    <w:unhideWhenUsed/>
    <w:rsid w:val="0060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57"/>
  </w:style>
  <w:style w:type="paragraph" w:styleId="Footer">
    <w:name w:val="footer"/>
    <w:basedOn w:val="Normal"/>
    <w:link w:val="FooterChar"/>
    <w:uiPriority w:val="99"/>
    <w:unhideWhenUsed/>
    <w:rsid w:val="0060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BABB-AB16-4F1D-9952-D8DCAE17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hibati</dc:creator>
  <cp:lastModifiedBy>fatemeh hibati</cp:lastModifiedBy>
  <cp:revision>7</cp:revision>
  <dcterms:created xsi:type="dcterms:W3CDTF">2024-09-15T10:16:00Z</dcterms:created>
  <dcterms:modified xsi:type="dcterms:W3CDTF">2024-09-18T07:29:00Z</dcterms:modified>
</cp:coreProperties>
</file>